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66"/>
        <w:gridCol w:w="572"/>
        <w:gridCol w:w="939"/>
        <w:gridCol w:w="187"/>
        <w:gridCol w:w="616"/>
        <w:gridCol w:w="1378"/>
        <w:gridCol w:w="273"/>
        <w:gridCol w:w="6"/>
        <w:gridCol w:w="987"/>
        <w:gridCol w:w="2124"/>
        <w:gridCol w:w="251"/>
        <w:gridCol w:w="2440"/>
        <w:gridCol w:w="310"/>
        <w:gridCol w:w="1216"/>
        <w:gridCol w:w="340"/>
        <w:gridCol w:w="560"/>
        <w:gridCol w:w="140"/>
        <w:gridCol w:w="631"/>
        <w:gridCol w:w="364"/>
      </w:tblGrid>
      <w:tr w:rsidR="003524AC" w:rsidRPr="00327CB2" w:rsidTr="00D119F4">
        <w:trPr>
          <w:gridAfter w:val="1"/>
          <w:wAfter w:w="364" w:type="dxa"/>
          <w:trHeight w:val="465"/>
        </w:trPr>
        <w:tc>
          <w:tcPr>
            <w:tcW w:w="217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noProof/>
                <w:color w:val="000000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1A3BAD56" wp14:editId="7E75691F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-448310</wp:posOffset>
                  </wp:positionV>
                  <wp:extent cx="514350" cy="676275"/>
                  <wp:effectExtent l="0" t="0" r="0" b="0"/>
                  <wp:wrapNone/>
                  <wp:docPr id="3" name="Picture 3" descr="../Downloads/logo%20baru%20uin%20alauddin%20makassar/Logo%20UIN%20Alauddin.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7480B6-9F04-4AD4-9BA7-B9E1227B83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../Downloads/logo%20baru%20uin%20alauddin%20makassar/Logo%20UIN%20Alauddin.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7480B6-9F04-4AD4-9BA7-B9E1227B832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0128" w:type="dxa"/>
            <w:gridSpan w:val="1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UNIVERSITAS ISLAM NEGERI ALAUDDIN MAKASSAR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PERIODE</w:t>
            </w:r>
          </w:p>
        </w:tc>
      </w:tr>
      <w:tr w:rsidR="003524AC" w:rsidRPr="00327CB2" w:rsidTr="00D119F4">
        <w:trPr>
          <w:gridAfter w:val="1"/>
          <w:wAfter w:w="364" w:type="dxa"/>
          <w:trHeight w:val="390"/>
        </w:trPr>
        <w:tc>
          <w:tcPr>
            <w:tcW w:w="217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FAKULTAS</w:t>
            </w:r>
          </w:p>
        </w:tc>
        <w:tc>
          <w:tcPr>
            <w:tcW w:w="79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TARBIYAH DAN KEGURUAN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2018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-2019</w:t>
            </w:r>
          </w:p>
        </w:tc>
      </w:tr>
      <w:tr w:rsidR="003524AC" w:rsidRPr="00327CB2" w:rsidTr="00D119F4">
        <w:trPr>
          <w:gridAfter w:val="1"/>
          <w:wAfter w:w="364" w:type="dxa"/>
          <w:trHeight w:val="390"/>
        </w:trPr>
        <w:tc>
          <w:tcPr>
            <w:tcW w:w="217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PROGRAM STUDI     </w:t>
            </w:r>
          </w:p>
        </w:tc>
        <w:tc>
          <w:tcPr>
            <w:tcW w:w="79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PENDIDIKAN 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ISLAM ANAK USIA DINI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(P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IAUD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)</w:t>
            </w: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3524AC" w:rsidRPr="00327CB2" w:rsidTr="00D119F4">
        <w:trPr>
          <w:gridAfter w:val="1"/>
          <w:wAfter w:w="364" w:type="dxa"/>
          <w:trHeight w:val="465"/>
        </w:trPr>
        <w:tc>
          <w:tcPr>
            <w:tcW w:w="1363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RENCANA PEMBELAJARAN SEMESTER</w:t>
            </w:r>
          </w:p>
        </w:tc>
      </w:tr>
      <w:tr w:rsidR="003524AC" w:rsidRPr="00327CB2" w:rsidTr="00D119F4">
        <w:trPr>
          <w:gridAfter w:val="1"/>
          <w:wAfter w:w="364" w:type="dxa"/>
          <w:trHeight w:val="330"/>
        </w:trPr>
        <w:tc>
          <w:tcPr>
            <w:tcW w:w="236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NAMA MATA KULIAH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KODE </w:t>
            </w:r>
          </w:p>
        </w:tc>
        <w:tc>
          <w:tcPr>
            <w:tcW w:w="264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Rumpun MK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Bobot (sks)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SEMESTER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TANGGAL REVISI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NO.</w:t>
            </w:r>
          </w:p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E76B5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eastAsia="id-ID"/>
              </w:rPr>
              <w:t>DOKUMEN</w:t>
            </w:r>
          </w:p>
        </w:tc>
      </w:tr>
      <w:tr w:rsidR="003524AC" w:rsidRPr="00327CB2" w:rsidTr="00D119F4">
        <w:trPr>
          <w:gridAfter w:val="1"/>
          <w:wAfter w:w="364" w:type="dxa"/>
          <w:trHeight w:val="589"/>
        </w:trPr>
        <w:tc>
          <w:tcPr>
            <w:tcW w:w="23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AC" w:rsidRPr="00154A16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PENDIDIKAN HIDUP BERSIH DAN SEHAT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4AC" w:rsidRPr="009A2325" w:rsidRDefault="003524AC" w:rsidP="003524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AUD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5254</w:t>
            </w:r>
          </w:p>
        </w:tc>
        <w:tc>
          <w:tcPr>
            <w:tcW w:w="2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MK Prodi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2 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SKS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4 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Maret 201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9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3524AC" w:rsidRPr="00327CB2" w:rsidTr="00D119F4">
        <w:trPr>
          <w:gridAfter w:val="1"/>
          <w:wAfter w:w="364" w:type="dxa"/>
          <w:trHeight w:val="312"/>
        </w:trPr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PENGESAHAN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DOSEN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KETUA PROGRAM STUDI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3524AC" w:rsidRPr="00327CB2" w:rsidTr="00D119F4">
        <w:trPr>
          <w:gridAfter w:val="1"/>
          <w:wAfter w:w="364" w:type="dxa"/>
          <w:trHeight w:val="509"/>
        </w:trPr>
        <w:tc>
          <w:tcPr>
            <w:tcW w:w="236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C" w:rsidRPr="00327CB2" w:rsidRDefault="00CB2E15" w:rsidP="003524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Wahyuni Ismail, S.Ag.,M.Si.,Ph.D</w:t>
            </w:r>
            <w:bookmarkStart w:id="0" w:name="_GoBack"/>
            <w:bookmarkEnd w:id="0"/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Dr. M.Yusuf T., S.Ag., M.Ag.</w:t>
            </w:r>
          </w:p>
        </w:tc>
        <w:tc>
          <w:tcPr>
            <w:tcW w:w="18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3524AC" w:rsidRPr="00327CB2" w:rsidTr="00D119F4">
        <w:trPr>
          <w:gridAfter w:val="1"/>
          <w:wAfter w:w="364" w:type="dxa"/>
          <w:trHeight w:val="509"/>
        </w:trPr>
        <w:tc>
          <w:tcPr>
            <w:tcW w:w="236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6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8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3524AC" w:rsidRPr="00327CB2" w:rsidTr="00D119F4">
        <w:trPr>
          <w:gridAfter w:val="1"/>
          <w:wAfter w:w="364" w:type="dxa"/>
          <w:trHeight w:val="227"/>
        </w:trPr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CAPAIAN PEMBELAJARAN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CP-Prodi</w:t>
            </w: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Bekerjasama dan memiliki kepekaan sosial serta kepedulian terhadap masyarakat dan lingkungan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(ST6).</w:t>
            </w:r>
          </w:p>
        </w:tc>
      </w:tr>
      <w:tr w:rsidR="003524AC" w:rsidRPr="00327CB2" w:rsidTr="00D119F4">
        <w:trPr>
          <w:gridAfter w:val="1"/>
          <w:wAfter w:w="364" w:type="dxa"/>
          <w:trHeight w:val="246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Theme="majorBidi" w:hAnsiTheme="majorBidi" w:cstheme="majorBidi"/>
                <w:spacing w:val="-6"/>
                <w:w w:val="102"/>
              </w:rPr>
            </w:pP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Menunjukkan sikap bertanggungjawab atas pekerjaan di bidang keahliannya secara mandiri (S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T</w:t>
            </w:r>
            <w:r w:rsidRPr="00327CB2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9)</w:t>
            </w:r>
          </w:p>
        </w:tc>
      </w:tr>
      <w:tr w:rsidR="003524AC" w:rsidRPr="00327CB2" w:rsidTr="00D119F4">
        <w:trPr>
          <w:gridAfter w:val="1"/>
          <w:wAfter w:w="364" w:type="dxa"/>
          <w:trHeight w:val="492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270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Menampilkan diri sebagai pribadi yang stabil, dewasa, arif dan berwibawa serta berkemampuan adaptasi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(adaptability)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fleksibiltas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(flexibility)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pengendalian diri,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(self direction),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 secara baik dan penuh inisitaif di tempat tugas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(ST14)</w:t>
            </w:r>
          </w:p>
        </w:tc>
      </w:tr>
      <w:tr w:rsidR="003524AC" w:rsidRPr="00327CB2" w:rsidTr="00D119F4">
        <w:trPr>
          <w:gridAfter w:val="1"/>
          <w:wAfter w:w="364" w:type="dxa"/>
          <w:trHeight w:val="285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Menguasai pengetahuan dan langkah-langkah integrasi keilmuan (agama dan sains) sebagai paradigma keilmuan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(P6),</w:t>
            </w:r>
          </w:p>
        </w:tc>
      </w:tr>
      <w:tr w:rsidR="003524AC" w:rsidRPr="00327CB2" w:rsidTr="00D119F4">
        <w:trPr>
          <w:gridAfter w:val="1"/>
          <w:wAfter w:w="364" w:type="dxa"/>
          <w:trHeight w:val="815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Mampu berkolaborasi dalam team, menunjukkan kemampuan kreatif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(creativity skill)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inovatif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(innovation skill)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, berpikir kritis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(critical thinking)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dan pemecahan masalah </w:t>
            </w:r>
            <w:r w:rsidRPr="00327CB2">
              <w:rPr>
                <w:rFonts w:asciiTheme="majorBidi" w:hAnsiTheme="majorBidi" w:cstheme="majorBidi"/>
                <w:i/>
                <w:spacing w:val="-6"/>
                <w:w w:val="102"/>
              </w:rPr>
              <w:t>(problem solving skill)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 xml:space="preserve"> dalam pengembangan keilmuan dan pelaksanaan tugas di dunia kerja: </w:t>
            </w:r>
            <w:r w:rsidRPr="00327CB2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(</w:t>
            </w:r>
            <w:r w:rsidRPr="00327CB2">
              <w:rPr>
                <w:rFonts w:asciiTheme="majorBidi" w:hAnsiTheme="majorBidi" w:cstheme="majorBidi"/>
                <w:spacing w:val="-6"/>
                <w:w w:val="102"/>
              </w:rPr>
              <w:t>KU12</w:t>
            </w:r>
            <w:r w:rsidRPr="00327CB2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).</w:t>
            </w:r>
          </w:p>
        </w:tc>
      </w:tr>
      <w:tr w:rsidR="003524AC" w:rsidRPr="00327CB2" w:rsidTr="00D119F4">
        <w:trPr>
          <w:gridAfter w:val="1"/>
          <w:wAfter w:w="364" w:type="dxa"/>
          <w:trHeight w:val="384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AC" w:rsidRPr="00327CB2" w:rsidRDefault="003524AC" w:rsidP="00B33793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  <w:lang w:val="id-ID"/>
              </w:rPr>
            </w:pPr>
            <w:r w:rsidRPr="00327CB2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>Mampu mengembangkan keprofesian dan keilmuan terkait dengan anak usia dini di TK/RA dan satuan PAUD lainnya</w:t>
            </w:r>
            <w:r w:rsidRPr="00327CB2">
              <w:rPr>
                <w:rFonts w:asciiTheme="majorBidi" w:hAnsiTheme="majorBidi" w:cstheme="majorBidi"/>
                <w:bCs/>
                <w:spacing w:val="-6"/>
                <w:w w:val="102"/>
                <w:lang w:val="id-ID"/>
              </w:rPr>
              <w:t xml:space="preserve"> </w:t>
            </w:r>
            <w:r w:rsidRPr="00327CB2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 xml:space="preserve">secara berkelanjutan, mandiri dan kolektif melalui pengembangan diri dan pemanfaatan teknologi informasi dan komunikasi dalam kerangka mewujudkan kinerja diri sebagai pendidik sejati (KS8). </w:t>
            </w:r>
          </w:p>
        </w:tc>
      </w:tr>
      <w:tr w:rsidR="003524AC" w:rsidRPr="00327CB2" w:rsidTr="00D119F4">
        <w:trPr>
          <w:gridAfter w:val="1"/>
          <w:wAfter w:w="364" w:type="dxa"/>
          <w:trHeight w:val="360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4AC" w:rsidRPr="00C27CCD" w:rsidRDefault="00B70D18" w:rsidP="00B337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ID"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id-ID"/>
              </w:rPr>
              <w:t xml:space="preserve">Mahasiswa mampu menjelaskan </w:t>
            </w:r>
            <w:r>
              <w:rPr>
                <w:rFonts w:ascii="Times New Roman" w:hAnsi="Times New Roman" w:cs="Times New Roman"/>
                <w:lang w:val="en-US"/>
              </w:rPr>
              <w:t>pengertian perilaku kesehatan,</w:t>
            </w:r>
            <w:r>
              <w:rPr>
                <w:rFonts w:ascii="Times New Roman" w:hAnsi="Times New Roman" w:cs="Times New Roman"/>
              </w:rPr>
              <w:t>ruang lingkup, prinsip</w:t>
            </w:r>
            <w:r>
              <w:rPr>
                <w:rFonts w:ascii="Times New Roman" w:hAnsi="Times New Roman" w:cs="Times New Roman"/>
                <w:lang w:val="en-US"/>
              </w:rPr>
              <w:t xml:space="preserve"> pendidikan hidup bersih dan sehat serta pendidikan anak usia dini</w:t>
            </w:r>
          </w:p>
        </w:tc>
      </w:tr>
      <w:tr w:rsidR="003524AC" w:rsidRPr="00327CB2" w:rsidTr="00D119F4">
        <w:trPr>
          <w:gridAfter w:val="1"/>
          <w:wAfter w:w="364" w:type="dxa"/>
          <w:trHeight w:val="360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4AC" w:rsidRPr="00C27CCD" w:rsidRDefault="00B70D18" w:rsidP="00B337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en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id-ID"/>
              </w:rPr>
              <w:t>Mahasiswa mampu menjelaskan pendidikan hidup bersih dan sehat di Tatanan Rumah Tangga, Sekolah/Institusi Pendidikan, Tempat Kerja,Tempat Umum dan Fasilitas Kesehatan.</w:t>
            </w:r>
          </w:p>
        </w:tc>
      </w:tr>
      <w:tr w:rsidR="003524AC" w:rsidRPr="00327CB2" w:rsidTr="00D119F4">
        <w:trPr>
          <w:gridAfter w:val="1"/>
          <w:wAfter w:w="364" w:type="dxa"/>
          <w:trHeight w:val="360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327CB2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CP-MK</w:t>
            </w: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4AC" w:rsidRPr="00C27CCD" w:rsidRDefault="00B70D18" w:rsidP="00B337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ID"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id-ID"/>
              </w:rPr>
              <w:t xml:space="preserve">Mahasiswa mampu </w:t>
            </w:r>
            <w:r>
              <w:rPr>
                <w:rFonts w:ascii="Times New Roman" w:hAnsi="Times New Roman" w:cs="Times New Roman"/>
                <w:lang w:val="en-US"/>
              </w:rPr>
              <w:t>Menjelaskan</w:t>
            </w:r>
            <w:r w:rsidR="007A00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Metode Promosi hidup bersih dan sehat</w:t>
            </w:r>
          </w:p>
        </w:tc>
      </w:tr>
      <w:tr w:rsidR="003524AC" w:rsidRPr="00327CB2" w:rsidTr="00D119F4">
        <w:trPr>
          <w:gridAfter w:val="1"/>
          <w:wAfter w:w="364" w:type="dxa"/>
          <w:trHeight w:val="606"/>
        </w:trPr>
        <w:tc>
          <w:tcPr>
            <w:tcW w:w="236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327CB2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3524AC" w:rsidRPr="00C27CCD" w:rsidRDefault="00B70D18" w:rsidP="00B337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ID"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id-ID"/>
              </w:rPr>
              <w:t xml:space="preserve">Mahasiswa mampu </w:t>
            </w:r>
            <w:r>
              <w:rPr>
                <w:rFonts w:ascii="Times New Roman" w:hAnsi="Times New Roman" w:cs="Times New Roman"/>
                <w:lang w:val="en-US"/>
              </w:rPr>
              <w:t>Menjelaskan dan mengintegrasikan prinsip dan metode pendidikan hidup bersih dan sehat pada anak usia dini untuk perubahan perilaku kesehatan</w:t>
            </w:r>
          </w:p>
        </w:tc>
      </w:tr>
      <w:tr w:rsidR="003524AC" w:rsidRPr="00F66BA5" w:rsidTr="00D119F4">
        <w:trPr>
          <w:gridAfter w:val="1"/>
          <w:wAfter w:w="364" w:type="dxa"/>
          <w:trHeight w:val="509"/>
        </w:trPr>
        <w:tc>
          <w:tcPr>
            <w:tcW w:w="2364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DESKRIPSI MATA KULIAH</w:t>
            </w:r>
          </w:p>
        </w:tc>
        <w:tc>
          <w:tcPr>
            <w:tcW w:w="112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524AC" w:rsidRPr="005B4145" w:rsidRDefault="003524AC" w:rsidP="005B41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d-ID"/>
              </w:rPr>
              <w:t xml:space="preserve">Matakuliah ini merupakan  matakuliah </w:t>
            </w:r>
            <w:r w:rsidR="005B4145"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d-ID"/>
              </w:rPr>
              <w:t xml:space="preserve">pilihan </w:t>
            </w:r>
            <w:r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ID" w:eastAsia="id-ID"/>
              </w:rPr>
              <w:t xml:space="preserve">Jurusan PIAUD </w:t>
            </w:r>
            <w:r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d-ID"/>
              </w:rPr>
              <w:t>yang bisa dipilih</w:t>
            </w:r>
            <w:r w:rsidR="005B4145"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d-ID"/>
              </w:rPr>
              <w:t xml:space="preserve"> untuk</w:t>
            </w:r>
            <w:r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d-ID"/>
              </w:rPr>
              <w:t xml:space="preserve"> diikuti oleh semua mahasiswa </w:t>
            </w:r>
            <w:r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ID" w:eastAsia="id-ID"/>
              </w:rPr>
              <w:t>PIAUD</w:t>
            </w:r>
            <w:r w:rsidRPr="005B41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d-ID"/>
              </w:rPr>
              <w:t xml:space="preserve">. Mata kuliah ini membahas tentang konsep </w:t>
            </w:r>
            <w:r w:rsidR="005B4145" w:rsidRPr="005B4145">
              <w:rPr>
                <w:rFonts w:ascii="Times New Roman" w:hAnsi="Times New Roman" w:cs="Times New Roman"/>
                <w:lang w:val="en-US"/>
              </w:rPr>
              <w:t>dasar hidup bersih dan sehat dalam upaya promotif dan preventif.</w:t>
            </w:r>
            <w:r w:rsidR="005B4145">
              <w:rPr>
                <w:rFonts w:ascii="Times New Roman" w:hAnsi="Times New Roman" w:cs="Times New Roman"/>
              </w:rPr>
              <w:t xml:space="preserve"> Melalui mata kuliah ini mahasiswa diarahkan untuk </w:t>
            </w:r>
            <w:r w:rsidR="005B4145">
              <w:rPr>
                <w:rFonts w:ascii="Times New Roman" w:hAnsi="Times New Roman" w:cs="Times New Roman"/>
                <w:lang w:val="en-US"/>
              </w:rPr>
              <w:t>mengintergrasikan prinsip pendidikan hidup bersih dan sehat untuk perubahan perilaku kesehatan pada anak usia dini.</w:t>
            </w:r>
            <w:r w:rsidR="005B41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4AC" w:rsidRPr="00F66BA5" w:rsidTr="00D119F4">
        <w:trPr>
          <w:gridAfter w:val="1"/>
          <w:wAfter w:w="364" w:type="dxa"/>
          <w:trHeight w:val="509"/>
        </w:trPr>
        <w:tc>
          <w:tcPr>
            <w:tcW w:w="236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2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3524AC" w:rsidRPr="00F66BA5" w:rsidTr="00D119F4">
        <w:trPr>
          <w:gridAfter w:val="1"/>
          <w:wAfter w:w="364" w:type="dxa"/>
          <w:trHeight w:val="253"/>
        </w:trPr>
        <w:tc>
          <w:tcPr>
            <w:tcW w:w="236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2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3524AC" w:rsidRPr="00F66BA5" w:rsidTr="00D119F4">
        <w:trPr>
          <w:gridAfter w:val="1"/>
          <w:wAfter w:w="364" w:type="dxa"/>
          <w:trHeight w:val="431"/>
        </w:trPr>
        <w:tc>
          <w:tcPr>
            <w:tcW w:w="23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PRASYARAT</w:t>
            </w:r>
          </w:p>
        </w:tc>
        <w:tc>
          <w:tcPr>
            <w:tcW w:w="11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</w:tr>
      <w:tr w:rsidR="003524AC" w:rsidRPr="00F66BA5" w:rsidTr="00D119F4">
        <w:trPr>
          <w:trHeight w:val="31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TGL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Pertemuan Ke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Materi Pembelajaran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No. Kompetensi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PEMBELAJARAN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PENILAIAN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 </w:t>
            </w:r>
          </w:p>
        </w:tc>
      </w:tr>
      <w:tr w:rsidR="003524AC" w:rsidRPr="00F66BA5" w:rsidTr="00D119F4">
        <w:trPr>
          <w:trHeight w:val="26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Strategi Pembelajaran/</w:t>
            </w:r>
          </w:p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STilES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Unit Tugas Mahasiswa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Indikator Penilaian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Bobot Penilaian (%)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Durasi (Menit)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Kode Referensi</w:t>
            </w:r>
          </w:p>
        </w:tc>
      </w:tr>
      <w:tr w:rsidR="003524AC" w:rsidRPr="00F66BA5" w:rsidTr="00D119F4">
        <w:trPr>
          <w:trHeight w:val="18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AC" w:rsidRPr="00F66BA5" w:rsidRDefault="003524AC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4AC" w:rsidRPr="00072CBE" w:rsidRDefault="003524AC" w:rsidP="00B33793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72CB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RPS dan kontrak kuliah, panduan penugasan.</w:t>
            </w:r>
          </w:p>
          <w:p w:rsidR="003524AC" w:rsidRPr="00072CBE" w:rsidRDefault="003524AC" w:rsidP="00B33793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AC" w:rsidRPr="004C2846" w:rsidRDefault="004C2846" w:rsidP="00D11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AC" w:rsidRPr="0040330E" w:rsidRDefault="003524AC" w:rsidP="00D119F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 w:rsidRPr="0040330E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Bersama-sama merumuskan tata laksana perkuliahan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4AC" w:rsidRPr="00072CBE" w:rsidRDefault="003524AC" w:rsidP="00D11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7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Menelaah silabus dan memberi masukan dalam rangka perbaikan desain pembelajaran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AC" w:rsidRPr="00072CBE" w:rsidRDefault="003524AC" w:rsidP="00D11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id-ID"/>
              </w:rPr>
            </w:pPr>
            <w:r w:rsidRPr="0007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Memetakan arah pelaksanaan perkuliahan untuk membuat kesepakatan tentang model pembelajaran serta penilaian proses dan hasil belajar</w:t>
            </w:r>
          </w:p>
          <w:p w:rsidR="003524AC" w:rsidRPr="00072CBE" w:rsidRDefault="003524AC" w:rsidP="00D11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AC" w:rsidRPr="00F66BA5" w:rsidRDefault="004C2846" w:rsidP="00D119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C" w:rsidRPr="00F66BA5" w:rsidRDefault="003524AC" w:rsidP="00D119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F66BA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C" w:rsidRPr="00F66BA5" w:rsidRDefault="004C2846" w:rsidP="00D119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RPS</w:t>
            </w:r>
          </w:p>
        </w:tc>
      </w:tr>
      <w:tr w:rsidR="00562F6E" w:rsidRPr="004C2846" w:rsidTr="00D119F4">
        <w:trPr>
          <w:trHeight w:val="2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F66BA5" w:rsidRDefault="00562F6E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F6E" w:rsidRPr="004C2846" w:rsidRDefault="00562F6E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562F6E" w:rsidP="00562F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Perilaku kesehatan dan determinan perilaku kesehatan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Tanya jawab,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 xml:space="preserve">Membaca terbimbing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mandiri, serta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562F6E" w:rsidP="00D119F4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lastRenderedPageBreak/>
              <w:t xml:space="preserve">Membaca materi terkait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perilaku kesehatan dan determinan perilaku kesehatan dan mendiskusikan pokok bahasan tersebut lalu menyusun resumenya.</w:t>
            </w:r>
          </w:p>
          <w:p w:rsidR="00562F6E" w:rsidRPr="004C2846" w:rsidRDefault="00562F6E" w:rsidP="00D119F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Menguraikan konsep perilaku kesehatan dan determinan perilaku serta ketepatan dan  kejelasan materi dalam pemaparan hasil diskusi.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562F6E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6E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3,</w:t>
            </w:r>
            <w:r w:rsidRPr="004C2846">
              <w:rPr>
                <w:rFonts w:ascii="Times New Roman" w:hAnsi="Times New Roman" w:cs="Times New Roman"/>
              </w:rPr>
              <w:t>4,5,7</w:t>
            </w:r>
          </w:p>
        </w:tc>
      </w:tr>
      <w:tr w:rsidR="004C2846" w:rsidRPr="004C2846" w:rsidTr="00D119F4">
        <w:trPr>
          <w:trHeight w:val="9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846" w:rsidRPr="004C2846" w:rsidRDefault="004C2846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B8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Pendidikan hidup bersih dan sehat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>Membaca materi terkait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</w:t>
            </w:r>
            <w:r w:rsidRPr="004C2846">
              <w:rPr>
                <w:rFonts w:ascii="Times New Roman" w:hAnsi="Times New Roman" w:cs="Times New Roman"/>
                <w:lang w:val="en-US"/>
              </w:rPr>
              <w:t>endidikan hidup bersih dan sehat</w:t>
            </w:r>
            <w:r>
              <w:rPr>
                <w:rFonts w:ascii="Times New Roman" w:hAnsi="Times New Roman" w:cs="Times New Roman"/>
              </w:rPr>
              <w:t>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mendiskusikan pokok bahasan tersebut lalu menyusun resumenya.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3,</w:t>
            </w:r>
            <w:r w:rsidRPr="004C2846">
              <w:rPr>
                <w:rFonts w:ascii="Times New Roman" w:hAnsi="Times New Roman" w:cs="Times New Roman"/>
              </w:rPr>
              <w:t>4,5,7</w:t>
            </w:r>
          </w:p>
        </w:tc>
      </w:tr>
      <w:tr w:rsidR="004C2846" w:rsidRPr="004C2846" w:rsidTr="00D119F4">
        <w:trPr>
          <w:trHeight w:val="17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46" w:rsidRPr="004C2846" w:rsidRDefault="004C2846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B33793">
            <w:pPr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Batasan usia anak dan pendidikan anak usia dini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Mendiskusikan dan mengidentifikasikan secara tepat tentang b</w:t>
            </w:r>
            <w:r w:rsidRPr="004C2846">
              <w:rPr>
                <w:rFonts w:ascii="Times New Roman" w:hAnsi="Times New Roman" w:cs="Times New Roman"/>
                <w:lang w:val="en-US"/>
              </w:rPr>
              <w:t>atasan usia anak dan pendidikan anak usia dini</w:t>
            </w:r>
            <w:r w:rsidRPr="004C2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3,</w:t>
            </w:r>
            <w:r w:rsidRPr="004C2846">
              <w:rPr>
                <w:rFonts w:ascii="Times New Roman" w:hAnsi="Times New Roman" w:cs="Times New Roman"/>
              </w:rPr>
              <w:t>4,5,7</w:t>
            </w:r>
          </w:p>
        </w:tc>
      </w:tr>
      <w:tr w:rsidR="004C2846" w:rsidRPr="004C2846" w:rsidTr="00D119F4">
        <w:trPr>
          <w:trHeight w:val="11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46" w:rsidRPr="004C2846" w:rsidRDefault="004C2846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526A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Ruang lingkup pendidikan hidup bersih dan sehat</w:t>
            </w:r>
          </w:p>
          <w:p w:rsidR="004C2846" w:rsidRPr="004C2846" w:rsidRDefault="004C2846" w:rsidP="00E56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Membaca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4C2846">
              <w:rPr>
                <w:rFonts w:ascii="Times New Roman" w:hAnsi="Times New Roman" w:cs="Times New Roman"/>
                <w:lang w:val="en-US"/>
              </w:rPr>
              <w:t>terbimbing dan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mandiri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, diskusi kelompok, serta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penyusunan resume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Membuat atau menyusun resume mengenai ruang lingkup pendidikan hidup bersih dan sehat.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3,4,5,8,9,10,11</w:t>
            </w:r>
          </w:p>
        </w:tc>
      </w:tr>
      <w:tr w:rsidR="004C2846" w:rsidRPr="004C2846" w:rsidTr="00D119F4">
        <w:trPr>
          <w:trHeight w:val="16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46" w:rsidRPr="004C2846" w:rsidRDefault="004C2846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526A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Manfaat pendidikan hidup bersih dan sehat</w:t>
            </w:r>
          </w:p>
          <w:p w:rsidR="004C2846" w:rsidRPr="004C2846" w:rsidRDefault="004C2846" w:rsidP="00526A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Membaca materi mengenai manfaat pendidikan hidup bersih dan sehat </w:t>
            </w:r>
            <w:r w:rsidRPr="004C2846">
              <w:rPr>
                <w:rFonts w:ascii="Times New Roman" w:hAnsi="Times New Roman" w:cs="Times New Roman"/>
                <w:lang w:val="en-US"/>
              </w:rPr>
              <w:t>serta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membuat resume terkait hasil bacaan melalui diskusi dan kerja kelompok.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3,4,5,8,9,10,11</w:t>
            </w:r>
          </w:p>
        </w:tc>
      </w:tr>
      <w:tr w:rsidR="004C2846" w:rsidRPr="004C2846" w:rsidTr="00D119F4">
        <w:trPr>
          <w:trHeight w:val="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46" w:rsidRPr="004C2846" w:rsidRDefault="004C2846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B33793">
            <w:pPr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Prinsip pendidikan hidup bersih dan sehat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</w:rPr>
              <w:t>Membuat atau menyusun resume mengenai prinsip pendidikan hidup bersih dan sehat.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3,4,5,8,9,10,11</w:t>
            </w:r>
          </w:p>
        </w:tc>
      </w:tr>
      <w:tr w:rsidR="004C2846" w:rsidRPr="004C2846" w:rsidTr="00D119F4">
        <w:trPr>
          <w:trHeight w:val="3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46" w:rsidRPr="004C2846" w:rsidRDefault="004C2846" w:rsidP="00B3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B33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C2846">
              <w:rPr>
                <w:rFonts w:ascii="Times New Roman" w:hAnsi="Times New Roman" w:cs="Times New Roman"/>
                <w:b/>
              </w:rPr>
              <w:t>UTS</w:t>
            </w:r>
          </w:p>
        </w:tc>
        <w:tc>
          <w:tcPr>
            <w:tcW w:w="116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846">
              <w:rPr>
                <w:rFonts w:ascii="Times New Roman" w:hAnsi="Times New Roman" w:cs="Times New Roman"/>
                <w:b/>
              </w:rPr>
              <w:t>TES TERTULIS</w:t>
            </w:r>
          </w:p>
        </w:tc>
      </w:tr>
      <w:tr w:rsidR="004C2846" w:rsidRPr="004C2846" w:rsidTr="00D119F4">
        <w:trPr>
          <w:trHeight w:val="9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F66BA5" w:rsidRDefault="004C2846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46" w:rsidRPr="004C2846" w:rsidRDefault="004C2846" w:rsidP="00B3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46" w:rsidRPr="004C2846" w:rsidRDefault="004C2846" w:rsidP="00926E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PHBS di Tatanan Rumah Tangga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Tanya jawab,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Membaca terbimbing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mandiri, serta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Menguraikan </w:t>
            </w:r>
            <w:r w:rsidRPr="004C2846">
              <w:rPr>
                <w:rFonts w:ascii="Times New Roman" w:hAnsi="Times New Roman" w:cs="Times New Roman"/>
                <w:lang w:val="en-US"/>
              </w:rPr>
              <w:t>definisi</w:t>
            </w:r>
            <w:r w:rsidRPr="004C2846">
              <w:rPr>
                <w:rFonts w:ascii="Times New Roman" w:hAnsi="Times New Roman" w:cs="Times New Roman"/>
              </w:rPr>
              <w:t xml:space="preserve"> dan indikator </w:t>
            </w:r>
            <w:r w:rsidRPr="004C28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2846">
              <w:rPr>
                <w:rFonts w:ascii="Times New Roman" w:hAnsi="Times New Roman" w:cs="Times New Roman"/>
              </w:rPr>
              <w:t>PHBS dalam tatanan rumah tangga serta membuat studi kasus sebagai tugas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46" w:rsidRPr="004C2846" w:rsidRDefault="004C2846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</w:tr>
      <w:tr w:rsidR="00D119F4" w:rsidRPr="004C2846" w:rsidTr="00D119F4">
        <w:trPr>
          <w:trHeight w:val="6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F4" w:rsidRPr="004C2846" w:rsidRDefault="00D119F4" w:rsidP="00B33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B33793">
            <w:pPr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Indikator PHBS Tatanan Rumah Tangga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Tanya jawab,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Membaca terbimbing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mandiri, serta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Mendiskusikan dan mengidentifikasikan secara tepat tentang Indikator PHBS dalam tatanan rumah tangga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4,5</w:t>
            </w:r>
          </w:p>
        </w:tc>
      </w:tr>
      <w:tr w:rsidR="00D119F4" w:rsidRPr="004C2846" w:rsidTr="00D119F4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4" w:rsidRPr="004C2846" w:rsidRDefault="00D119F4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B33793">
            <w:pPr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PHBS dan Indikatornya di Tatanan Sekolah/ Institusi Pendidikan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Membaca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4C2846">
              <w:rPr>
                <w:rFonts w:ascii="Times New Roman" w:hAnsi="Times New Roman" w:cs="Times New Roman"/>
                <w:lang w:val="en-US"/>
              </w:rPr>
              <w:t>terbimbing dan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mandiri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, diskusi kelompok, serta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penyusunan resume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Menguraikan </w:t>
            </w:r>
            <w:r w:rsidRPr="004C2846">
              <w:rPr>
                <w:rFonts w:ascii="Times New Roman" w:hAnsi="Times New Roman" w:cs="Times New Roman"/>
                <w:lang w:val="en-US"/>
              </w:rPr>
              <w:t>definisi</w:t>
            </w:r>
            <w:r w:rsidRPr="004C2846">
              <w:rPr>
                <w:rFonts w:ascii="Times New Roman" w:hAnsi="Times New Roman" w:cs="Times New Roman"/>
              </w:rPr>
              <w:t xml:space="preserve"> dan indikator </w:t>
            </w:r>
            <w:r w:rsidRPr="004C28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2846">
              <w:rPr>
                <w:rFonts w:ascii="Times New Roman" w:hAnsi="Times New Roman" w:cs="Times New Roman"/>
              </w:rPr>
              <w:t>PHBS dalam tatanan sekolah/ institusi pendidikan serta membuat studi kasus sebagai tugas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1, 10,11</w:t>
            </w:r>
          </w:p>
        </w:tc>
      </w:tr>
      <w:tr w:rsidR="00D119F4" w:rsidRPr="004C2846" w:rsidTr="00D119F4">
        <w:trPr>
          <w:trHeight w:val="2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4" w:rsidRPr="004C2846" w:rsidRDefault="00D119F4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B33793">
            <w:pPr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 xml:space="preserve">PHBS dan Indikatornya di Tatanan Tempat Kerja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46">
              <w:rPr>
                <w:rFonts w:ascii="Times New Roman" w:hAnsi="Times New Roman" w:cs="Times New Roman"/>
                <w:lang w:val="en-US"/>
              </w:rPr>
              <w:t>Ceramah, studi kasus, Tugas Kelompok dan presentasi hasil observasi lapangan</w:t>
            </w:r>
          </w:p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Mendiskusikan dan mengidentifikasikan secara tepat tentang PHBS dan indikatornya dalam tatanan tempat kerja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6,7,8,9</w:t>
            </w:r>
          </w:p>
        </w:tc>
      </w:tr>
      <w:tr w:rsidR="00D119F4" w:rsidRPr="004C2846" w:rsidTr="00D119F4">
        <w:trPr>
          <w:trHeight w:val="1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4" w:rsidRPr="004C2846" w:rsidRDefault="00D119F4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B33793">
            <w:pPr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PHBS dan Indikatornya di Tatanan Tempat Umum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Membaca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4C2846">
              <w:rPr>
                <w:rFonts w:ascii="Times New Roman" w:hAnsi="Times New Roman" w:cs="Times New Roman"/>
                <w:lang w:val="en-US"/>
              </w:rPr>
              <w:t>terbimbing dan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mandiri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, diskusi kelompok, serta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penyusunan resume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>Membaca materi terkait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</w:t>
            </w:r>
            <w:r w:rsidRPr="004C2846">
              <w:rPr>
                <w:rFonts w:ascii="Times New Roman" w:hAnsi="Times New Roman" w:cs="Times New Roman"/>
                <w:lang w:val="en-US"/>
              </w:rPr>
              <w:t>endidikan hidup bersih dan sehatan</w:t>
            </w:r>
            <w:r w:rsidRPr="004C2846">
              <w:rPr>
                <w:rFonts w:ascii="Times New Roman" w:hAnsi="Times New Roman" w:cs="Times New Roman"/>
              </w:rPr>
              <w:t xml:space="preserve"> di tatanan tempat umum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dan mendiskusikan pokok bahasan tersebut lalu menyusun resumenya.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menganalisis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6,7,8,9</w:t>
            </w:r>
          </w:p>
        </w:tc>
      </w:tr>
      <w:tr w:rsidR="00D119F4" w:rsidRPr="004C2846" w:rsidTr="00D119F4">
        <w:trPr>
          <w:trHeight w:val="1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4" w:rsidRPr="004C2846" w:rsidRDefault="00D119F4" w:rsidP="0064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B33793">
            <w:pPr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PHBSdan Indikatornya di Tatanan Fasilitas Kesehatan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jc w:val="center"/>
              <w:rPr>
                <w:rFonts w:ascii="Times New Roman" w:hAnsi="Times New Roman" w:cs="Times New Roman"/>
                <w:lang w:val="en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Membaca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4C2846">
              <w:rPr>
                <w:rFonts w:ascii="Times New Roman" w:hAnsi="Times New Roman" w:cs="Times New Roman"/>
                <w:lang w:val="en-US"/>
              </w:rPr>
              <w:t>terbimbing dan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mandiri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, diskusi kelompok, serta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penyusunan resume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>Membaca materi terkait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p</w:t>
            </w:r>
            <w:r w:rsidRPr="004C2846">
              <w:rPr>
                <w:rFonts w:ascii="Times New Roman" w:hAnsi="Times New Roman" w:cs="Times New Roman"/>
                <w:lang w:val="en-US"/>
              </w:rPr>
              <w:t>endidikan hidup bersih dan sehatan</w:t>
            </w:r>
            <w:r w:rsidRPr="004C2846">
              <w:rPr>
                <w:rFonts w:ascii="Times New Roman" w:hAnsi="Times New Roman" w:cs="Times New Roman"/>
              </w:rPr>
              <w:t xml:space="preserve"> di tatanan fasilitas kesehatan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dan mendiskusikan pokok bahasan tersebut lalu menyusun resumenya.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</w:tr>
      <w:tr w:rsidR="00D119F4" w:rsidRPr="004C2846" w:rsidTr="00D119F4">
        <w:trPr>
          <w:trHeight w:val="19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4" w:rsidRPr="004C2846" w:rsidRDefault="00D119F4" w:rsidP="0064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B33793">
            <w:pPr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Integrasi PHBS pada Anak Usia Dini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Tanya jawab,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Membaca terbimbing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mandiri, serta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</w:rPr>
              <w:t>Mendiskusikan dan mengidentifikasikan secara tepat tentang Pengintegrasian PHBS pada anak usia dini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dan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partisipasi aktif dalam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observasi,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diskusi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dan kerja 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kelompok.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D119F4" w:rsidRDefault="00D119F4" w:rsidP="00D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</w:tr>
      <w:tr w:rsidR="00D119F4" w:rsidRPr="004C2846" w:rsidTr="00D119F4">
        <w:trPr>
          <w:trHeight w:val="5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4" w:rsidRPr="004C2846" w:rsidRDefault="00D119F4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  <w:t>UAS</w:t>
            </w:r>
          </w:p>
        </w:tc>
        <w:tc>
          <w:tcPr>
            <w:tcW w:w="83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B3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  <w:t>TES TERTULIS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F4" w:rsidRPr="004C2846" w:rsidRDefault="00D119F4" w:rsidP="00AC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 x 50 Menit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F4" w:rsidRPr="004C2846" w:rsidRDefault="00D119F4" w:rsidP="00D1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d-ID"/>
              </w:rPr>
            </w:pPr>
          </w:p>
        </w:tc>
      </w:tr>
      <w:tr w:rsidR="00D119F4" w:rsidRPr="004C2846" w:rsidTr="00D119F4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9F4" w:rsidRPr="00F66BA5" w:rsidRDefault="00D119F4" w:rsidP="00B337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66BA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REFERENSI</w:t>
            </w:r>
          </w:p>
        </w:tc>
        <w:tc>
          <w:tcPr>
            <w:tcW w:w="1333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 xml:space="preserve">Bensley, R.J. &amp; Brookins-Fisher, Jodi(Eds.), </w:t>
            </w:r>
            <w:r w:rsidRPr="004C2846">
              <w:rPr>
                <w:rFonts w:ascii="Times New Roman" w:eastAsia="Times New Roman" w:hAnsi="Times New Roman" w:cs="Times New Roman"/>
                <w:i/>
                <w:color w:val="000000"/>
                <w:lang w:val="en-ID" w:eastAsia="id-ID"/>
              </w:rPr>
              <w:t>Community Health Education Methods, a Practical Guide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 xml:space="preserve">, 2nd Edition, Jones and Bartlett Publishers, 2003. 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</w:pP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>Entjang, dr. Indan</w:t>
            </w:r>
            <w:r w:rsidRPr="004C2846">
              <w:rPr>
                <w:rFonts w:ascii="Times New Roman" w:eastAsia="Times New Roman" w:hAnsi="Times New Roman" w:cs="Times New Roman"/>
                <w:i/>
                <w:color w:val="000000"/>
                <w:lang w:val="en-ID" w:eastAsia="id-ID"/>
              </w:rPr>
              <w:t>, Ilmu Kesehatan Masyarakat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 xml:space="preserve">, Penerbit PT. Citra Aditya Bakti, Bandung, 1997. 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</w:pPr>
            <w:r w:rsidRPr="004C2846">
              <w:rPr>
                <w:rFonts w:ascii="Times New Roman" w:eastAsia="Calibri" w:hAnsi="Times New Roman" w:cs="Times New Roman"/>
                <w:bCs/>
              </w:rPr>
              <w:t xml:space="preserve">Glanz, Karen, Rimer, Barbara K, &amp; Lewis, Frances Marcus (Eds.) </w:t>
            </w:r>
            <w:r w:rsidRPr="004C2846">
              <w:rPr>
                <w:rFonts w:ascii="Times New Roman" w:eastAsia="Calibri" w:hAnsi="Times New Roman" w:cs="Times New Roman"/>
                <w:bCs/>
                <w:i/>
                <w:iCs/>
              </w:rPr>
              <w:t>Health Behavior and Health Education, Theory, Research, and Practice</w:t>
            </w:r>
            <w:r w:rsidRPr="004C2846">
              <w:rPr>
                <w:rFonts w:ascii="Times New Roman" w:eastAsia="Calibri" w:hAnsi="Times New Roman" w:cs="Times New Roman"/>
                <w:bCs/>
              </w:rPr>
              <w:t>, 3</w:t>
            </w:r>
            <w:r w:rsidRPr="004C2846">
              <w:rPr>
                <w:rFonts w:ascii="Times New Roman" w:eastAsia="Calibri" w:hAnsi="Times New Roman" w:cs="Times New Roman"/>
                <w:bCs/>
                <w:vertAlign w:val="superscript"/>
              </w:rPr>
              <w:t>rd</w:t>
            </w:r>
            <w:r w:rsidRPr="004C2846">
              <w:rPr>
                <w:rFonts w:ascii="Times New Roman" w:eastAsia="Calibri" w:hAnsi="Times New Roman" w:cs="Times New Roman"/>
                <w:bCs/>
              </w:rPr>
              <w:t xml:space="preserve"> Edition, Jossey-Bass, 2002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</w:pPr>
            <w:r w:rsidRPr="004C2846">
              <w:rPr>
                <w:rFonts w:ascii="Times New Roman" w:eastAsia="Calibri" w:hAnsi="Times New Roman" w:cs="Times New Roman"/>
                <w:bCs/>
                <w:lang w:val="en-US"/>
              </w:rPr>
              <w:t>Kementerian Kesehatan RI. Pedoman Pembinaan Perilaku Hidup Bersih dan Sehat (PHBS). Jakarta, Kementerian Kesehatan RI. 2011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</w:pPr>
            <w:r w:rsidRPr="004C2846">
              <w:rPr>
                <w:rFonts w:ascii="Times New Roman" w:eastAsia="Calibri" w:hAnsi="Times New Roman" w:cs="Times New Roman"/>
                <w:bCs/>
                <w:lang w:val="en-US"/>
              </w:rPr>
              <w:t>Kementerian Kesehatan RI. Pedoman Umum Program Indonesia Sehat Dengan Pendekatan Keluarga. Jakarta, Kementerian Kesehatan RI. 2016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 xml:space="preserve"> 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bCs/>
              </w:rPr>
              <w:lastRenderedPageBreak/>
              <w:t xml:space="preserve">Notoatmodjo, Soekidjo, </w:t>
            </w:r>
            <w:r w:rsidRPr="004C2846">
              <w:rPr>
                <w:rFonts w:ascii="Times New Roman" w:hAnsi="Times New Roman" w:cs="Times New Roman"/>
                <w:bCs/>
                <w:i/>
                <w:iCs/>
              </w:rPr>
              <w:t>Promosi Kesehatan, Teori dan Aplikasi</w:t>
            </w:r>
            <w:r w:rsidRPr="004C2846">
              <w:rPr>
                <w:rFonts w:ascii="Times New Roman" w:hAnsi="Times New Roman" w:cs="Times New Roman"/>
                <w:bCs/>
              </w:rPr>
              <w:t>, Penerbit Rineka Cipta, 2005.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bCs/>
              </w:rPr>
              <w:t xml:space="preserve">Notoatmodjo, Soekidjo, </w:t>
            </w:r>
            <w:r w:rsidRPr="004C2846">
              <w:rPr>
                <w:rFonts w:ascii="Times New Roman" w:hAnsi="Times New Roman" w:cs="Times New Roman"/>
                <w:bCs/>
                <w:i/>
                <w:iCs/>
              </w:rPr>
              <w:t>Promosi Kesehatan dan Ilmu Perilaku</w:t>
            </w:r>
            <w:r w:rsidRPr="004C2846">
              <w:rPr>
                <w:rFonts w:ascii="Times New Roman" w:hAnsi="Times New Roman" w:cs="Times New Roman"/>
                <w:bCs/>
              </w:rPr>
              <w:t>, Penerbit Rineka Cipta, 2007.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</w:pPr>
            <w:r w:rsidRPr="004C2846">
              <w:rPr>
                <w:rFonts w:ascii="Times New Roman" w:hAnsi="Times New Roman" w:cs="Times New Roman"/>
                <w:bCs/>
              </w:rPr>
              <w:t xml:space="preserve">Notoatmodjo, Soekidjo, </w:t>
            </w:r>
            <w:r w:rsidRPr="004C2846">
              <w:rPr>
                <w:rFonts w:ascii="Times New Roman" w:hAnsi="Times New Roman" w:cs="Times New Roman"/>
                <w:bCs/>
                <w:i/>
                <w:iCs/>
              </w:rPr>
              <w:t>Kesehatan Masyarakat, Ilmu dan Seni</w:t>
            </w:r>
            <w:r w:rsidRPr="004C2846">
              <w:rPr>
                <w:rFonts w:ascii="Times New Roman" w:hAnsi="Times New Roman" w:cs="Times New Roman"/>
                <w:bCs/>
              </w:rPr>
              <w:t>, Penerbit Rineka Cipta, 2007</w:t>
            </w:r>
            <w:r w:rsidRPr="004C2846">
              <w:rPr>
                <w:rFonts w:ascii="Times New Roman" w:eastAsia="Times New Roman" w:hAnsi="Times New Roman" w:cs="Times New Roman"/>
                <w:color w:val="000000"/>
                <w:lang w:val="en-ID" w:eastAsia="id-ID"/>
              </w:rPr>
              <w:t xml:space="preserve">  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bCs/>
                <w:lang w:val="en-US"/>
              </w:rPr>
              <w:t xml:space="preserve">Syarifuddin, Nurdiyanah. </w:t>
            </w:r>
            <w:r w:rsidRPr="004C284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Promosi Kesehatan: Teori dan Aplikasi</w:t>
            </w:r>
            <w:r w:rsidRPr="004C2846">
              <w:rPr>
                <w:rFonts w:ascii="Times New Roman" w:hAnsi="Times New Roman" w:cs="Times New Roman"/>
                <w:bCs/>
                <w:lang w:val="en-US"/>
              </w:rPr>
              <w:t xml:space="preserve">. Alauddin Press. 2012. 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bCs/>
              </w:rPr>
              <w:t xml:space="preserve">-----------------------------------, Modul Pembelajaran STILeS: dasar-dasar promosi kesehatan, Alauddin press, 2014. </w:t>
            </w:r>
          </w:p>
          <w:p w:rsidR="00D119F4" w:rsidRPr="004C2846" w:rsidRDefault="00D119F4" w:rsidP="00C13C4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4C2846">
              <w:rPr>
                <w:rFonts w:ascii="Times New Roman" w:hAnsi="Times New Roman" w:cs="Times New Roman"/>
                <w:bCs/>
              </w:rPr>
              <w:t xml:space="preserve">Zastrow, C. &amp; Kirst-Ashman, K.K, </w:t>
            </w:r>
            <w:r w:rsidRPr="004C2846">
              <w:rPr>
                <w:rFonts w:ascii="Times New Roman" w:hAnsi="Times New Roman" w:cs="Times New Roman"/>
                <w:bCs/>
                <w:i/>
                <w:iCs/>
              </w:rPr>
              <w:t>Understanding Human Behavior and the Social Environment, Fifth Edition</w:t>
            </w:r>
            <w:r w:rsidRPr="004C2846">
              <w:rPr>
                <w:rFonts w:ascii="Times New Roman" w:hAnsi="Times New Roman" w:cs="Times New Roman"/>
                <w:bCs/>
              </w:rPr>
              <w:t>, Brooks/Cole, 2001.</w:t>
            </w:r>
            <w:r w:rsidRPr="004C284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</w:tbl>
    <w:p w:rsidR="00ED08CA" w:rsidRDefault="00ED08CA"/>
    <w:sectPr w:rsidR="00ED08CA" w:rsidSect="003524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796"/>
    <w:multiLevelType w:val="hybridMultilevel"/>
    <w:tmpl w:val="A94A0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3B4"/>
    <w:multiLevelType w:val="hybridMultilevel"/>
    <w:tmpl w:val="F954CF5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BC61374"/>
    <w:multiLevelType w:val="hybridMultilevel"/>
    <w:tmpl w:val="B1D4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23C0"/>
    <w:multiLevelType w:val="hybridMultilevel"/>
    <w:tmpl w:val="18F825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B44C0"/>
    <w:multiLevelType w:val="hybridMultilevel"/>
    <w:tmpl w:val="B43E4904"/>
    <w:lvl w:ilvl="0" w:tplc="B26C591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872" w:hanging="360"/>
      </w:pPr>
    </w:lvl>
    <w:lvl w:ilvl="2" w:tplc="0421001B" w:tentative="1">
      <w:start w:val="1"/>
      <w:numFmt w:val="lowerRoman"/>
      <w:lvlText w:val="%3."/>
      <w:lvlJc w:val="right"/>
      <w:pPr>
        <w:ind w:left="1592" w:hanging="180"/>
      </w:pPr>
    </w:lvl>
    <w:lvl w:ilvl="3" w:tplc="0421000F" w:tentative="1">
      <w:start w:val="1"/>
      <w:numFmt w:val="decimal"/>
      <w:lvlText w:val="%4."/>
      <w:lvlJc w:val="left"/>
      <w:pPr>
        <w:ind w:left="2312" w:hanging="360"/>
      </w:pPr>
    </w:lvl>
    <w:lvl w:ilvl="4" w:tplc="04210019" w:tentative="1">
      <w:start w:val="1"/>
      <w:numFmt w:val="lowerLetter"/>
      <w:lvlText w:val="%5."/>
      <w:lvlJc w:val="left"/>
      <w:pPr>
        <w:ind w:left="3032" w:hanging="360"/>
      </w:pPr>
    </w:lvl>
    <w:lvl w:ilvl="5" w:tplc="0421001B" w:tentative="1">
      <w:start w:val="1"/>
      <w:numFmt w:val="lowerRoman"/>
      <w:lvlText w:val="%6."/>
      <w:lvlJc w:val="right"/>
      <w:pPr>
        <w:ind w:left="3752" w:hanging="180"/>
      </w:pPr>
    </w:lvl>
    <w:lvl w:ilvl="6" w:tplc="0421000F" w:tentative="1">
      <w:start w:val="1"/>
      <w:numFmt w:val="decimal"/>
      <w:lvlText w:val="%7."/>
      <w:lvlJc w:val="left"/>
      <w:pPr>
        <w:ind w:left="4472" w:hanging="360"/>
      </w:pPr>
    </w:lvl>
    <w:lvl w:ilvl="7" w:tplc="04210019" w:tentative="1">
      <w:start w:val="1"/>
      <w:numFmt w:val="lowerLetter"/>
      <w:lvlText w:val="%8."/>
      <w:lvlJc w:val="left"/>
      <w:pPr>
        <w:ind w:left="5192" w:hanging="360"/>
      </w:pPr>
    </w:lvl>
    <w:lvl w:ilvl="8" w:tplc="0421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566F362C"/>
    <w:multiLevelType w:val="hybridMultilevel"/>
    <w:tmpl w:val="1688CDF8"/>
    <w:lvl w:ilvl="0" w:tplc="A170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D81E61"/>
    <w:multiLevelType w:val="hybridMultilevel"/>
    <w:tmpl w:val="5302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23BED"/>
    <w:multiLevelType w:val="hybridMultilevel"/>
    <w:tmpl w:val="C15C78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D4706"/>
    <w:multiLevelType w:val="hybridMultilevel"/>
    <w:tmpl w:val="D8886F0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68103C"/>
    <w:multiLevelType w:val="hybridMultilevel"/>
    <w:tmpl w:val="F3FC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1513A"/>
    <w:multiLevelType w:val="hybridMultilevel"/>
    <w:tmpl w:val="B07C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52086"/>
    <w:multiLevelType w:val="hybridMultilevel"/>
    <w:tmpl w:val="E49253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AC"/>
    <w:rsid w:val="000005EB"/>
    <w:rsid w:val="00071BAD"/>
    <w:rsid w:val="00072CBE"/>
    <w:rsid w:val="000E1625"/>
    <w:rsid w:val="00130845"/>
    <w:rsid w:val="003524AC"/>
    <w:rsid w:val="003760A9"/>
    <w:rsid w:val="0038297D"/>
    <w:rsid w:val="003E56A9"/>
    <w:rsid w:val="003F406D"/>
    <w:rsid w:val="003F654F"/>
    <w:rsid w:val="0040330E"/>
    <w:rsid w:val="004C2846"/>
    <w:rsid w:val="00526AA5"/>
    <w:rsid w:val="00562F6E"/>
    <w:rsid w:val="005B4145"/>
    <w:rsid w:val="006449C0"/>
    <w:rsid w:val="006C7A8C"/>
    <w:rsid w:val="00710D4C"/>
    <w:rsid w:val="007A001B"/>
    <w:rsid w:val="00926ED8"/>
    <w:rsid w:val="009461B8"/>
    <w:rsid w:val="00956BD1"/>
    <w:rsid w:val="00A92DAC"/>
    <w:rsid w:val="00B70D18"/>
    <w:rsid w:val="00B81DF9"/>
    <w:rsid w:val="00C13C46"/>
    <w:rsid w:val="00CA65BE"/>
    <w:rsid w:val="00CB2E15"/>
    <w:rsid w:val="00CB4370"/>
    <w:rsid w:val="00D119F4"/>
    <w:rsid w:val="00D31488"/>
    <w:rsid w:val="00D75E6C"/>
    <w:rsid w:val="00E56357"/>
    <w:rsid w:val="00E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AC"/>
    <w:pPr>
      <w:spacing w:after="160" w:line="259" w:lineRule="auto"/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524AC"/>
    <w:pPr>
      <w:ind w:left="720"/>
      <w:contextualSpacing/>
    </w:pPr>
    <w:rPr>
      <w:rFonts w:ascii="Calibri" w:eastAsia="Times New Roman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AC"/>
    <w:pPr>
      <w:spacing w:after="160" w:line="259" w:lineRule="auto"/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524AC"/>
    <w:pPr>
      <w:ind w:left="720"/>
      <w:contextualSpacing/>
    </w:pPr>
    <w:rPr>
      <w:rFonts w:ascii="Calibri" w:eastAsia="Times New Roma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2019-06-27T04:49:00Z</dcterms:created>
  <dcterms:modified xsi:type="dcterms:W3CDTF">2019-07-07T08:26:00Z</dcterms:modified>
</cp:coreProperties>
</file>